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3A2473" w:rsidP="003A2473">
      <w:pPr>
        <w:pStyle w:val="ECOPHONPRODUITS16NOIR"/>
        <w:tabs>
          <w:tab w:val="left" w:pos="8789"/>
        </w:tabs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8447</wp:posOffset>
            </wp:positionV>
            <wp:extent cx="1111739" cy="50089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739" cy="50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3A2473">
        <w:rPr>
          <w:rStyle w:val="ECOPHONTITRE3BCar"/>
          <w:b/>
          <w:sz w:val="22"/>
          <w:szCs w:val="22"/>
          <w:lang w:val="fr-FR"/>
        </w:rPr>
        <w:t>FOCUS B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4567A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DB69FF">
        <w:rPr>
          <w:rFonts w:ascii="Arial" w:hAnsi="Arial" w:cs="Arial"/>
          <w:b/>
          <w:sz w:val="18"/>
          <w:szCs w:val="18"/>
        </w:rPr>
        <w:t xml:space="preserve">Focus (Bord </w:t>
      </w:r>
      <w:r w:rsidR="0092639B">
        <w:rPr>
          <w:rFonts w:ascii="Arial" w:hAnsi="Arial" w:cs="Arial"/>
          <w:b/>
          <w:sz w:val="18"/>
          <w:szCs w:val="18"/>
        </w:rPr>
        <w:t>B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A2473" w:rsidRPr="003A2473">
        <w:rPr>
          <w:rFonts w:ascii="Arial" w:hAnsi="Arial" w:cs="Arial"/>
          <w:sz w:val="18"/>
          <w:szCs w:val="18"/>
        </w:rPr>
        <w:t xml:space="preserve">posés bord à bord et collés sous un support propre et lisse (dalle béton, plâtre, etc.). On utilisera la colle acoustique </w:t>
      </w:r>
      <w:r w:rsidR="003A2473" w:rsidRPr="003A2473">
        <w:rPr>
          <w:rFonts w:ascii="Arial" w:hAnsi="Arial" w:cs="Arial"/>
          <w:b/>
          <w:sz w:val="18"/>
          <w:szCs w:val="18"/>
        </w:rPr>
        <w:t>type Connect</w:t>
      </w:r>
      <w:r w:rsidR="003A2473" w:rsidRPr="003A2473">
        <w:rPr>
          <w:rFonts w:ascii="Arial" w:hAnsi="Arial" w:cs="Arial"/>
          <w:sz w:val="18"/>
          <w:szCs w:val="18"/>
        </w:rPr>
        <w:t xml:space="preserve"> pour une installation rapide. Le plafond sera utilisé lorsque la hau</w:t>
      </w:r>
      <w:r w:rsidR="003A2473">
        <w:rPr>
          <w:rFonts w:ascii="Arial" w:hAnsi="Arial" w:cs="Arial"/>
          <w:sz w:val="18"/>
          <w:szCs w:val="18"/>
        </w:rPr>
        <w:t xml:space="preserve">teur du plénum sera inexistante. </w:t>
      </w:r>
    </w:p>
    <w:p w:rsidR="0064567A" w:rsidRDefault="0064567A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C654B6" w:rsidRDefault="00AD0E5C" w:rsidP="0064567A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système sera d’un poids de 2,5 kg/m².</w:t>
      </w:r>
      <w:r w:rsidR="0064567A">
        <w:rPr>
          <w:rFonts w:ascii="Arial" w:hAnsi="Arial" w:cs="Arial"/>
          <w:sz w:val="18"/>
          <w:szCs w:val="18"/>
        </w:rPr>
        <w:t xml:space="preserve">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C654B6">
        <w:rPr>
          <w:rFonts w:ascii="Arial" w:hAnsi="Arial" w:cs="Arial"/>
          <w:sz w:val="18"/>
          <w:szCs w:val="18"/>
        </w:rPr>
        <w:t xml:space="preserve"> : </w:t>
      </w:r>
      <w:r w:rsidR="00DB69FF" w:rsidRPr="00DB69FF">
        <w:rPr>
          <w:rFonts w:ascii="Arial" w:hAnsi="Arial" w:cs="Arial"/>
          <w:sz w:val="18"/>
          <w:szCs w:val="18"/>
        </w:rPr>
        <w:t xml:space="preserve">une peinture nano poreuse à l’eau, et la face cachée du panneau sera revêtue d'un voile de verre. </w:t>
      </w:r>
      <w:r w:rsidR="0064567A">
        <w:rPr>
          <w:rFonts w:ascii="Arial" w:hAnsi="Arial" w:cs="Arial"/>
          <w:sz w:val="18"/>
          <w:szCs w:val="18"/>
        </w:rPr>
        <w:t>Le collage</w:t>
      </w:r>
      <w:r w:rsidR="00DB69FF" w:rsidRPr="00DB69FF">
        <w:rPr>
          <w:rFonts w:ascii="Arial" w:hAnsi="Arial" w:cs="Arial"/>
          <w:sz w:val="18"/>
          <w:szCs w:val="18"/>
        </w:rPr>
        <w:t xml:space="preserve"> bord à bord donnera au plafond un </w:t>
      </w:r>
      <w:r w:rsidR="0092639B">
        <w:rPr>
          <w:rFonts w:ascii="Arial" w:hAnsi="Arial" w:cs="Arial"/>
          <w:sz w:val="18"/>
          <w:szCs w:val="18"/>
        </w:rPr>
        <w:t>aspect</w:t>
      </w:r>
      <w:r w:rsidR="00DB69FF" w:rsidRPr="00DB69FF">
        <w:rPr>
          <w:rFonts w:ascii="Arial" w:hAnsi="Arial" w:cs="Arial"/>
          <w:sz w:val="18"/>
          <w:szCs w:val="18"/>
        </w:rPr>
        <w:t xml:space="preserve"> lisse avec une rai</w:t>
      </w:r>
      <w:r w:rsidR="00783B2D">
        <w:rPr>
          <w:rFonts w:ascii="Arial" w:hAnsi="Arial" w:cs="Arial"/>
          <w:sz w:val="18"/>
          <w:szCs w:val="18"/>
        </w:rPr>
        <w:t>nure discrète entre les dalles</w:t>
      </w:r>
      <w:r w:rsidR="00DB69FF" w:rsidRPr="00DB69FF">
        <w:rPr>
          <w:rFonts w:ascii="Arial" w:hAnsi="Arial" w:cs="Arial"/>
          <w:sz w:val="18"/>
          <w:szCs w:val="18"/>
        </w:rPr>
        <w:t>. Les bords seront peints.</w:t>
      </w:r>
    </w:p>
    <w:p w:rsidR="00AD0E5C" w:rsidRDefault="00AD0E5C" w:rsidP="004D26EA">
      <w:pPr>
        <w:jc w:val="both"/>
        <w:rPr>
          <w:rFonts w:ascii="Arial" w:hAnsi="Arial" w:cs="Arial"/>
          <w:sz w:val="18"/>
          <w:szCs w:val="18"/>
        </w:rPr>
      </w:pPr>
    </w:p>
    <w:p w:rsidR="00AD0E5C" w:rsidRDefault="00AD0E5C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3A2473">
        <w:rPr>
          <w:rFonts w:ascii="Arial" w:hAnsi="Arial" w:cs="Arial"/>
          <w:sz w:val="18"/>
          <w:szCs w:val="18"/>
        </w:rPr>
        <w:t>M03</w:t>
      </w:r>
      <w:r w:rsidR="001E3FC3">
        <w:rPr>
          <w:rFonts w:ascii="Arial" w:hAnsi="Arial" w:cs="Arial"/>
          <w:sz w:val="18"/>
          <w:szCs w:val="18"/>
        </w:rPr>
        <w:t>.</w:t>
      </w:r>
      <w:r w:rsidR="008C5500">
        <w:rPr>
          <w:rFonts w:ascii="Arial" w:hAnsi="Arial" w:cs="Arial"/>
          <w:sz w:val="18"/>
          <w:szCs w:val="18"/>
        </w:rPr>
        <w:t xml:space="preserve"> </w:t>
      </w:r>
      <w:r w:rsidR="008C5500" w:rsidRPr="008C5500">
        <w:rPr>
          <w:rFonts w:ascii="Arial" w:hAnsi="Arial" w:cs="Arial"/>
          <w:sz w:val="18"/>
          <w:szCs w:val="18"/>
        </w:rPr>
        <w:t xml:space="preserve">Les dalles </w:t>
      </w:r>
      <w:r w:rsidR="00DB69FF">
        <w:rPr>
          <w:rFonts w:ascii="Arial" w:hAnsi="Arial" w:cs="Arial"/>
          <w:sz w:val="18"/>
          <w:szCs w:val="18"/>
        </w:rPr>
        <w:t xml:space="preserve">ne </w:t>
      </w:r>
      <w:r w:rsidR="008C5500" w:rsidRPr="008C5500">
        <w:rPr>
          <w:rFonts w:ascii="Arial" w:hAnsi="Arial" w:cs="Arial"/>
          <w:sz w:val="18"/>
          <w:szCs w:val="18"/>
        </w:rPr>
        <w:t xml:space="preserve">seront </w:t>
      </w:r>
      <w:r w:rsidR="00DB69FF">
        <w:rPr>
          <w:rFonts w:ascii="Arial" w:hAnsi="Arial" w:cs="Arial"/>
          <w:sz w:val="18"/>
          <w:szCs w:val="18"/>
        </w:rPr>
        <w:t xml:space="preserve">pas </w:t>
      </w:r>
      <w:r w:rsidR="008C5500" w:rsidRPr="008C5500">
        <w:rPr>
          <w:rFonts w:ascii="Arial" w:hAnsi="Arial" w:cs="Arial"/>
          <w:sz w:val="18"/>
          <w:szCs w:val="18"/>
        </w:rPr>
        <w:t>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92639B">
        <w:rPr>
          <w:rFonts w:ascii="Arial" w:hAnsi="Arial" w:cs="Arial"/>
          <w:sz w:val="18"/>
          <w:szCs w:val="18"/>
        </w:rPr>
        <w:t>classe d’absorption acoustique C,</w:t>
      </w:r>
      <w:r w:rsidR="004838E7" w:rsidRPr="004838E7">
        <w:rPr>
          <w:rFonts w:ascii="Arial" w:hAnsi="Arial" w:cs="Arial"/>
          <w:sz w:val="18"/>
          <w:szCs w:val="18"/>
        </w:rPr>
        <w:t xml:space="preserve">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AD0E5C">
        <w:rPr>
          <w:rFonts w:ascii="Arial" w:hAnsi="Arial" w:cs="Arial"/>
          <w:sz w:val="18"/>
          <w:szCs w:val="18"/>
        </w:rPr>
        <w:t>αw de 0,65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145F50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Focus </w:t>
            </w:r>
            <w:r w:rsidR="000477D4">
              <w:rPr>
                <w:rFonts w:ascii="Arial" w:hAnsi="Arial" w:cs="Arial"/>
                <w:b/>
                <w:sz w:val="18"/>
                <w:szCs w:val="18"/>
              </w:rPr>
              <w:t>B</w:t>
            </w:r>
            <w:bookmarkStart w:id="0" w:name="_GoBack"/>
            <w:bookmarkEnd w:id="0"/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A36BE0">
        <w:trPr>
          <w:trHeight w:val="255"/>
        </w:trPr>
        <w:tc>
          <w:tcPr>
            <w:tcW w:w="1353" w:type="dxa"/>
            <w:noWrap/>
            <w:hideMark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" w:type="dxa"/>
            <w:noWrap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822" w:type="dxa"/>
            <w:noWrap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  <w:r w:rsidR="008C5500" w:rsidRPr="008C55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963" w:type="dxa"/>
            <w:noWrap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</w:tcPr>
          <w:p w:rsidR="008C5500" w:rsidRPr="008C5500" w:rsidRDefault="0092639B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D0E5C">
              <w:rPr>
                <w:rFonts w:ascii="Arial" w:hAnsi="Arial" w:cs="Arial"/>
                <w:sz w:val="18"/>
                <w:szCs w:val="18"/>
              </w:rPr>
              <w:t>,65</w:t>
            </w:r>
          </w:p>
        </w:tc>
        <w:tc>
          <w:tcPr>
            <w:tcW w:w="1143" w:type="dxa"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92639B" w:rsidRDefault="0092639B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D0E5C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AD0E5C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</w:t>
      </w:r>
      <w:r w:rsidR="00AD0E5C">
        <w:rPr>
          <w:rFonts w:ascii="Arial" w:hAnsi="Arial" w:cs="Arial"/>
          <w:sz w:val="18"/>
          <w:szCs w:val="18"/>
        </w:rPr>
        <w:t>evront pas excéder 4,59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BA0040">
        <w:rPr>
          <w:rFonts w:ascii="Arial" w:hAnsi="Arial" w:cs="Arial"/>
          <w:sz w:val="18"/>
          <w:szCs w:val="18"/>
        </w:rPr>
        <w:t xml:space="preserve"> devra être de 57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4E" w:rsidRDefault="00331D4E" w:rsidP="004419EE">
      <w:r>
        <w:separator/>
      </w:r>
    </w:p>
  </w:endnote>
  <w:endnote w:type="continuationSeparator" w:id="0">
    <w:p w:rsidR="00331D4E" w:rsidRDefault="00331D4E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4E" w:rsidRDefault="00331D4E" w:rsidP="004419EE">
      <w:r>
        <w:separator/>
      </w:r>
    </w:p>
  </w:footnote>
  <w:footnote w:type="continuationSeparator" w:id="0">
    <w:p w:rsidR="00331D4E" w:rsidRDefault="00331D4E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477D4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87A3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C71CD"/>
    <w:rsid w:val="002D0D2A"/>
    <w:rsid w:val="002E4950"/>
    <w:rsid w:val="002F11C8"/>
    <w:rsid w:val="002F66B8"/>
    <w:rsid w:val="002F6A6F"/>
    <w:rsid w:val="002F6EE2"/>
    <w:rsid w:val="003023C9"/>
    <w:rsid w:val="003120CA"/>
    <w:rsid w:val="0032324A"/>
    <w:rsid w:val="00326169"/>
    <w:rsid w:val="00326678"/>
    <w:rsid w:val="00330E6B"/>
    <w:rsid w:val="00331D4E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A2473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39B"/>
    <w:rsid w:val="00541FCF"/>
    <w:rsid w:val="00553F12"/>
    <w:rsid w:val="00554424"/>
    <w:rsid w:val="0055754A"/>
    <w:rsid w:val="00564EFD"/>
    <w:rsid w:val="00597592"/>
    <w:rsid w:val="005A2C39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4567A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0395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3B2D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639B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13D8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Abdoul Vahab, Tamina</cp:lastModifiedBy>
  <cp:revision>3</cp:revision>
  <dcterms:created xsi:type="dcterms:W3CDTF">2020-05-12T09:40:00Z</dcterms:created>
  <dcterms:modified xsi:type="dcterms:W3CDTF">2020-05-12T15:19:00Z</dcterms:modified>
</cp:coreProperties>
</file>