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620A64" w:rsidRPr="00D23E32" w:rsidRDefault="00620A64" w:rsidP="00D23E32">
      <w:pPr>
        <w:pStyle w:val="ECOPHONPRODUITS16NOIR"/>
        <w:rPr>
          <w:b w:val="0"/>
          <w:sz w:val="22"/>
          <w:szCs w:val="22"/>
        </w:rPr>
      </w:pPr>
      <w:r w:rsidRPr="009566F9">
        <w:rPr>
          <w:rStyle w:val="ECOPHONTITRE3BCar"/>
          <w:b/>
          <w:sz w:val="22"/>
          <w:szCs w:val="22"/>
          <w:lang w:val="fr-FR"/>
        </w:rPr>
        <w:t xml:space="preserve">ECOPHON SOLO </w:t>
      </w:r>
      <w:r w:rsidR="00CA63EA">
        <w:rPr>
          <w:rStyle w:val="ECOPHONTITRE3BCar"/>
          <w:b/>
          <w:sz w:val="22"/>
          <w:szCs w:val="22"/>
          <w:lang w:val="fr-FR"/>
        </w:rPr>
        <w:t xml:space="preserve">TEXTILE </w:t>
      </w:r>
      <w:r>
        <w:rPr>
          <w:rStyle w:val="ECOPHONTITRE3BCar"/>
          <w:b/>
          <w:sz w:val="22"/>
          <w:szCs w:val="22"/>
          <w:lang w:val="fr-FR"/>
        </w:rPr>
        <w:t>SQUARE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  <w:r w:rsidR="00066042">
        <w:rPr>
          <w:noProof/>
        </w:rPr>
        <w:drawing>
          <wp:inline distT="0" distB="0" distL="0" distR="0" wp14:anchorId="6489A969" wp14:editId="10350EC5">
            <wp:extent cx="1095375" cy="6888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184B91" w:rsidRDefault="00184B91" w:rsidP="004D26EA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panneaux flottants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acoustiques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Pr="009566F9">
        <w:rPr>
          <w:rFonts w:ascii="Arial" w:hAnsi="Arial" w:cs="Arial"/>
          <w:b/>
          <w:sz w:val="18"/>
          <w:szCs w:val="18"/>
        </w:rPr>
        <w:t>Solo</w:t>
      </w:r>
      <w:r w:rsidR="00D23E32">
        <w:rPr>
          <w:rFonts w:ascii="Arial" w:hAnsi="Arial" w:cs="Arial"/>
          <w:b/>
          <w:sz w:val="18"/>
          <w:szCs w:val="18"/>
        </w:rPr>
        <w:t xml:space="preserve"> </w:t>
      </w:r>
      <w:r w:rsidR="00CA63EA">
        <w:rPr>
          <w:rFonts w:ascii="Arial" w:hAnsi="Arial" w:cs="Arial"/>
          <w:b/>
          <w:sz w:val="18"/>
          <w:szCs w:val="18"/>
        </w:rPr>
        <w:t xml:space="preserve">Textile </w:t>
      </w:r>
      <w:r>
        <w:rPr>
          <w:rFonts w:ascii="Arial" w:hAnsi="Arial" w:cs="Arial"/>
          <w:b/>
          <w:sz w:val="18"/>
          <w:szCs w:val="18"/>
        </w:rPr>
        <w:t>Square</w:t>
      </w:r>
      <w:r w:rsidR="003A42B8">
        <w:rPr>
          <w:rFonts w:ascii="Arial" w:hAnsi="Arial" w:cs="Arial"/>
          <w:b/>
          <w:sz w:val="18"/>
          <w:szCs w:val="18"/>
        </w:rPr>
        <w:t xml:space="preserve"> </w:t>
      </w:r>
      <w:r w:rsidR="003A42B8" w:rsidRPr="003A42B8">
        <w:rPr>
          <w:rFonts w:ascii="Arial" w:hAnsi="Arial" w:cs="Arial"/>
          <w:sz w:val="18"/>
          <w:szCs w:val="18"/>
        </w:rPr>
        <w:t>entièrement couvert d’un textile</w:t>
      </w:r>
      <w:r w:rsidR="006A14CA" w:rsidRPr="003A42B8">
        <w:rPr>
          <w:rFonts w:ascii="Arial" w:hAnsi="Arial" w:cs="Arial"/>
          <w:sz w:val="18"/>
          <w:szCs w:val="18"/>
        </w:rPr>
        <w:t xml:space="preserve"> </w:t>
      </w:r>
      <w:r w:rsidR="006A14CA">
        <w:rPr>
          <w:rFonts w:ascii="Arial" w:hAnsi="Arial" w:cs="Arial"/>
          <w:sz w:val="18"/>
          <w:szCs w:val="18"/>
        </w:rPr>
        <w:t xml:space="preserve">en dimensions 1200x1200x40 </w:t>
      </w:r>
      <w:r w:rsidRPr="009566F9">
        <w:rPr>
          <w:rFonts w:ascii="Arial" w:hAnsi="Arial" w:cs="Arial"/>
          <w:sz w:val="18"/>
          <w:szCs w:val="18"/>
        </w:rPr>
        <w:t>mm</w:t>
      </w:r>
      <w:r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suspendus horizontalement</w:t>
      </w:r>
      <w:r>
        <w:rPr>
          <w:rFonts w:ascii="Arial" w:hAnsi="Arial" w:cs="Arial"/>
          <w:sz w:val="18"/>
          <w:szCs w:val="18"/>
        </w:rPr>
        <w:t xml:space="preserve">, ayant un poids de </w:t>
      </w:r>
      <w:r w:rsidR="003A42B8">
        <w:rPr>
          <w:rFonts w:ascii="Arial" w:hAnsi="Arial" w:cs="Arial"/>
          <w:sz w:val="18"/>
          <w:szCs w:val="18"/>
        </w:rPr>
        <w:t>8</w:t>
      </w:r>
      <w:r w:rsidR="006A14CA">
        <w:rPr>
          <w:rFonts w:ascii="Arial" w:hAnsi="Arial" w:cs="Arial"/>
          <w:sz w:val="18"/>
          <w:szCs w:val="18"/>
        </w:rPr>
        <w:t xml:space="preserve"> kg/pièce. Les panneaux seront installés avec Connect </w:t>
      </w:r>
      <w:r>
        <w:rPr>
          <w:rFonts w:ascii="Arial" w:hAnsi="Arial" w:cs="Arial"/>
          <w:sz w:val="18"/>
          <w:szCs w:val="18"/>
        </w:rPr>
        <w:t xml:space="preserve">vis d’ancrage spéciales, sans aucune </w:t>
      </w:r>
      <w:r w:rsidRPr="009566F9">
        <w:rPr>
          <w:rFonts w:ascii="Arial" w:hAnsi="Arial" w:cs="Arial"/>
          <w:sz w:val="18"/>
          <w:szCs w:val="18"/>
        </w:rPr>
        <w:t xml:space="preserve">fixation ni ossature </w:t>
      </w:r>
      <w:r w:rsidR="006A14CA">
        <w:rPr>
          <w:rFonts w:ascii="Arial" w:hAnsi="Arial" w:cs="Arial"/>
          <w:sz w:val="18"/>
          <w:szCs w:val="18"/>
        </w:rPr>
        <w:t xml:space="preserve">visible d’en dessous et Connect </w:t>
      </w:r>
      <w:r>
        <w:rPr>
          <w:rFonts w:ascii="Arial" w:hAnsi="Arial" w:cs="Arial"/>
          <w:sz w:val="18"/>
          <w:szCs w:val="18"/>
        </w:rPr>
        <w:t>câbles de suspension ajustables</w:t>
      </w:r>
      <w:r w:rsidR="006A14CA">
        <w:rPr>
          <w:rFonts w:ascii="Arial" w:hAnsi="Arial" w:cs="Arial"/>
          <w:sz w:val="18"/>
          <w:szCs w:val="18"/>
        </w:rPr>
        <w:t xml:space="preserve"> ou Connect fixations directes réglables, pour permettre </w:t>
      </w:r>
      <w:r w:rsidR="00D23E32">
        <w:rPr>
          <w:rFonts w:ascii="Arial" w:hAnsi="Arial" w:cs="Arial"/>
          <w:sz w:val="18"/>
          <w:szCs w:val="18"/>
        </w:rPr>
        <w:t xml:space="preserve">de </w:t>
      </w:r>
      <w:r w:rsidR="006A14CA">
        <w:rPr>
          <w:rFonts w:ascii="Arial" w:hAnsi="Arial" w:cs="Arial"/>
          <w:sz w:val="18"/>
          <w:szCs w:val="18"/>
        </w:rPr>
        <w:t>les disposer en différents angles d’inclinaison.</w:t>
      </w:r>
    </w:p>
    <w:p w:rsidR="00184B91" w:rsidRPr="009566F9" w:rsidRDefault="00184B91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4B91" w:rsidRPr="003A42B8" w:rsidRDefault="00042CC2" w:rsidP="004D26EA">
      <w:pPr>
        <w:jc w:val="both"/>
        <w:rPr>
          <w:rFonts w:ascii="Arial" w:hAnsi="Arial" w:cs="Arial"/>
          <w:sz w:val="18"/>
          <w:szCs w:val="18"/>
        </w:rPr>
      </w:pPr>
      <w:r w:rsidRPr="003A42B8">
        <w:rPr>
          <w:rFonts w:ascii="Arial" w:eastAsiaTheme="minorHAnsi" w:hAnsi="Arial" w:cs="Arial"/>
          <w:noProof/>
          <w:sz w:val="18"/>
          <w:szCs w:val="18"/>
          <w:lang w:eastAsia="en-US"/>
        </w:rPr>
        <w:t>Les deux</w:t>
      </w:r>
      <w:r w:rsidR="00184B91" w:rsidRPr="003A42B8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faces</w:t>
      </w:r>
      <w:r w:rsidR="003A42B8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et les bords</w:t>
      </w:r>
      <w:r w:rsidR="00184B91" w:rsidRPr="003A42B8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</w:t>
      </w:r>
      <w:r w:rsidR="006A14CA" w:rsidRPr="003A42B8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du panneau </w:t>
      </w:r>
      <w:r w:rsidR="00184B91" w:rsidRPr="003A42B8">
        <w:rPr>
          <w:rFonts w:ascii="Arial" w:eastAsiaTheme="minorHAnsi" w:hAnsi="Arial" w:cs="Arial"/>
          <w:noProof/>
          <w:sz w:val="18"/>
          <w:szCs w:val="18"/>
          <w:lang w:eastAsia="en-US"/>
        </w:rPr>
        <w:t>seront</w:t>
      </w:r>
      <w:r w:rsidR="003A42B8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recouverts d’un textile polyester de haute qualité dans une gamme de 7 couleurs originales</w:t>
      </w:r>
      <w:r w:rsidR="00184B91" w:rsidRPr="003A42B8">
        <w:rPr>
          <w:rFonts w:ascii="Arial" w:hAnsi="Arial" w:cs="Arial"/>
          <w:sz w:val="18"/>
          <w:szCs w:val="18"/>
        </w:rPr>
        <w:t xml:space="preserve">. </w:t>
      </w:r>
    </w:p>
    <w:p w:rsidR="006A14CA" w:rsidRDefault="006A14C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3A42B8">
        <w:rPr>
          <w:rFonts w:ascii="Arial" w:hAnsi="Arial" w:cs="Arial"/>
          <w:sz w:val="18"/>
          <w:szCs w:val="18"/>
        </w:rPr>
        <w:t>M482</w:t>
      </w:r>
      <w:r w:rsidR="006A14CA" w:rsidRPr="003A42B8">
        <w:rPr>
          <w:rFonts w:ascii="Arial" w:hAnsi="Arial" w:cs="Arial"/>
          <w:sz w:val="18"/>
          <w:szCs w:val="18"/>
        </w:rPr>
        <w:t>.</w:t>
      </w:r>
      <w:r w:rsidR="006A14CA">
        <w:rPr>
          <w:rFonts w:ascii="Arial" w:hAnsi="Arial" w:cs="Arial"/>
          <w:sz w:val="18"/>
          <w:szCs w:val="18"/>
        </w:rPr>
        <w:t xml:space="preserve">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525BA4" w:rsidRDefault="006A14CA" w:rsidP="004D26EA">
      <w:pPr>
        <w:jc w:val="both"/>
        <w:outlineLvl w:val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> :</w:t>
      </w:r>
      <w:r w:rsidRPr="003A42B8">
        <w:rPr>
          <w:rFonts w:ascii="Arial" w:hAnsi="Arial" w:cs="Arial"/>
          <w:sz w:val="18"/>
          <w:szCs w:val="18"/>
        </w:rPr>
        <w:t xml:space="preserve"> </w:t>
      </w:r>
      <w:r w:rsidR="003A42B8">
        <w:rPr>
          <w:rFonts w:ascii="Arial" w:hAnsi="Arial" w:cs="Arial"/>
          <w:sz w:val="18"/>
          <w:szCs w:val="18"/>
        </w:rPr>
        <w:t>Sept couleurs disponibles incluant les informations sur la réflexion à la lumière et la nuance de couleur selon le standard NCS.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184B91" w:rsidRDefault="009276C2" w:rsidP="004D26EA">
      <w:pPr>
        <w:jc w:val="both"/>
        <w:rPr>
          <w:rFonts w:ascii="Arial" w:hAnsi="Arial" w:cs="Arial"/>
          <w:color w:val="333333"/>
          <w:spacing w:val="2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Performance</w:t>
      </w:r>
      <w:r w:rsidR="00184B91" w:rsidRPr="009566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d’absorption acoustique</w:t>
      </w:r>
      <w:r w:rsidR="00184B91" w:rsidRPr="009566F9">
        <w:rPr>
          <w:rFonts w:ascii="Arial" w:hAnsi="Arial" w:cs="Arial"/>
          <w:b/>
          <w:sz w:val="18"/>
          <w:szCs w:val="18"/>
        </w:rPr>
        <w:t> :</w:t>
      </w:r>
      <w:r w:rsidR="00184B91" w:rsidRPr="009566F9">
        <w:rPr>
          <w:rFonts w:ascii="Calibri" w:eastAsiaTheme="minorHAnsi" w:hAnsi="Calibri" w:cs="Calibri"/>
          <w:color w:val="1F497D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333333"/>
          <w:spacing w:val="2"/>
          <w:sz w:val="18"/>
          <w:szCs w:val="18"/>
        </w:rPr>
        <w:t>La performance d’absor</w:t>
      </w:r>
      <w:r w:rsidR="00525BA4">
        <w:rPr>
          <w:rFonts w:ascii="Arial" w:hAnsi="Arial" w:cs="Arial"/>
          <w:color w:val="333333"/>
          <w:spacing w:val="2"/>
          <w:sz w:val="18"/>
          <w:szCs w:val="18"/>
        </w:rPr>
        <w:t xml:space="preserve">ption acoustique d’Ecophon Solo Textile </w:t>
      </w:r>
      <w:r>
        <w:rPr>
          <w:rFonts w:ascii="Arial" w:hAnsi="Arial" w:cs="Arial"/>
          <w:color w:val="333333"/>
          <w:spacing w:val="2"/>
          <w:sz w:val="18"/>
          <w:szCs w:val="18"/>
        </w:rPr>
        <w:t xml:space="preserve">sera mesurée en aire d’absorption équivalente </w:t>
      </w:r>
      <w:r w:rsidR="00B33A31">
        <w:rPr>
          <w:rFonts w:ascii="Arial" w:hAnsi="Arial" w:cs="Arial"/>
          <w:color w:val="333333"/>
          <w:spacing w:val="2"/>
          <w:sz w:val="18"/>
          <w:szCs w:val="18"/>
        </w:rPr>
        <w:t>(</w:t>
      </w:r>
      <w:proofErr w:type="spellStart"/>
      <w:r w:rsidRPr="00066B05">
        <w:rPr>
          <w:rFonts w:ascii="Arial" w:hAnsi="Arial" w:cs="Arial"/>
          <w:color w:val="333333"/>
          <w:spacing w:val="2"/>
          <w:sz w:val="18"/>
          <w:szCs w:val="18"/>
        </w:rPr>
        <w:t>A</w:t>
      </w:r>
      <w:r w:rsidR="004B6724">
        <w:rPr>
          <w:rFonts w:ascii="Arial" w:hAnsi="Arial" w:cs="Arial"/>
          <w:color w:val="333333"/>
          <w:spacing w:val="2"/>
          <w:sz w:val="18"/>
          <w:szCs w:val="18"/>
        </w:rPr>
        <w:t>eq</w:t>
      </w:r>
      <w:proofErr w:type="spellEnd"/>
      <w:r w:rsidR="00B33A31">
        <w:rPr>
          <w:rFonts w:ascii="Arial" w:hAnsi="Arial" w:cs="Arial"/>
          <w:color w:val="333333"/>
          <w:spacing w:val="2"/>
          <w:sz w:val="18"/>
          <w:szCs w:val="18"/>
        </w:rPr>
        <w:t xml:space="preserve">, </w:t>
      </w:r>
      <w:r>
        <w:rPr>
          <w:rFonts w:ascii="Arial" w:hAnsi="Arial" w:cs="Arial"/>
          <w:color w:val="333333"/>
          <w:spacing w:val="2"/>
          <w:sz w:val="18"/>
          <w:szCs w:val="18"/>
        </w:rPr>
        <w:t>m²</w:t>
      </w:r>
      <w:r w:rsidR="004B6724">
        <w:rPr>
          <w:rFonts w:ascii="Arial" w:hAnsi="Arial" w:cs="Arial"/>
          <w:color w:val="333333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pacing w:val="2"/>
          <w:sz w:val="18"/>
          <w:szCs w:val="18"/>
        </w:rPr>
        <w:t xml:space="preserve">Sabin </w:t>
      </w:r>
      <w:r w:rsidR="00B33A31">
        <w:rPr>
          <w:rFonts w:ascii="Arial" w:hAnsi="Arial" w:cs="Arial"/>
          <w:color w:val="333333"/>
          <w:spacing w:val="2"/>
          <w:sz w:val="18"/>
          <w:szCs w:val="18"/>
        </w:rPr>
        <w:t xml:space="preserve">par </w:t>
      </w:r>
      <w:r w:rsidR="004D635F">
        <w:rPr>
          <w:rFonts w:ascii="Arial" w:hAnsi="Arial" w:cs="Arial"/>
          <w:color w:val="333333"/>
          <w:spacing w:val="2"/>
          <w:sz w:val="18"/>
          <w:szCs w:val="18"/>
        </w:rPr>
        <w:t>unité) selon la norme EN ISO 354.</w:t>
      </w:r>
    </w:p>
    <w:p w:rsidR="008A3DF5" w:rsidRDefault="008A3DF5" w:rsidP="004D26EA">
      <w:pPr>
        <w:jc w:val="both"/>
        <w:rPr>
          <w:rFonts w:ascii="Arial" w:hAnsi="Arial" w:cs="Arial"/>
          <w:color w:val="333333"/>
          <w:spacing w:val="2"/>
          <w:sz w:val="18"/>
          <w:szCs w:val="18"/>
        </w:rPr>
      </w:pPr>
    </w:p>
    <w:p w:rsidR="008A3DF5" w:rsidRDefault="008A3DF5" w:rsidP="004D26EA">
      <w:pPr>
        <w:jc w:val="both"/>
        <w:rPr>
          <w:rFonts w:ascii="Arial" w:hAnsi="Arial" w:cs="Arial"/>
          <w:color w:val="333333"/>
          <w:spacing w:val="2"/>
          <w:sz w:val="18"/>
          <w:szCs w:val="18"/>
        </w:rPr>
      </w:pPr>
    </w:p>
    <w:tbl>
      <w:tblPr>
        <w:tblW w:w="87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854"/>
        <w:gridCol w:w="780"/>
        <w:gridCol w:w="918"/>
        <w:gridCol w:w="992"/>
        <w:gridCol w:w="992"/>
        <w:gridCol w:w="992"/>
        <w:gridCol w:w="993"/>
        <w:gridCol w:w="992"/>
      </w:tblGrid>
      <w:tr w:rsidR="009A74E2" w:rsidRPr="00184B91" w:rsidTr="009A74E2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E2" w:rsidRPr="008A3DF5" w:rsidRDefault="009A74E2" w:rsidP="009A74E2">
            <w:pPr>
              <w:jc w:val="center"/>
              <w:rPr>
                <w:rFonts w:ascii="Arial" w:hAnsi="Arial" w:cs="Arial"/>
                <w:b/>
              </w:rPr>
            </w:pPr>
            <w:r w:rsidRPr="008A3DF5">
              <w:rPr>
                <w:rFonts w:ascii="Arial" w:hAnsi="Arial" w:cs="Arial"/>
                <w:b/>
              </w:rPr>
              <w:t>Solo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E2" w:rsidRPr="008A3DF5" w:rsidRDefault="009A74E2" w:rsidP="009A74E2">
            <w:pPr>
              <w:jc w:val="center"/>
              <w:rPr>
                <w:rFonts w:ascii="Arial" w:hAnsi="Arial" w:cs="Arial"/>
                <w:b/>
              </w:rPr>
            </w:pPr>
            <w:r w:rsidRPr="008A3DF5">
              <w:rPr>
                <w:rFonts w:ascii="Arial" w:hAnsi="Arial" w:cs="Arial"/>
                <w:b/>
              </w:rPr>
              <w:t>Ep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E2" w:rsidRPr="008A3DF5" w:rsidRDefault="009A74E2" w:rsidP="009A74E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3DF5">
              <w:rPr>
                <w:rFonts w:ascii="Arial" w:hAnsi="Arial" w:cs="Arial"/>
                <w:b/>
              </w:rPr>
              <w:t>Htt</w:t>
            </w:r>
            <w:proofErr w:type="spellEnd"/>
          </w:p>
        </w:tc>
        <w:tc>
          <w:tcPr>
            <w:tcW w:w="5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E2" w:rsidRDefault="009A74E2" w:rsidP="009A74E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3DF5">
              <w:rPr>
                <w:rFonts w:ascii="Arial" w:hAnsi="Arial" w:cs="Arial"/>
                <w:b/>
              </w:rPr>
              <w:t>Aeq</w:t>
            </w:r>
            <w:proofErr w:type="spellEnd"/>
            <w:r w:rsidRPr="008A3DF5">
              <w:rPr>
                <w:rFonts w:ascii="Arial" w:hAnsi="Arial" w:cs="Arial"/>
                <w:b/>
              </w:rPr>
              <w:t>, Aire d'Absorption équivalente par panneau</w:t>
            </w:r>
          </w:p>
          <w:p w:rsidR="009A74E2" w:rsidRPr="008A3DF5" w:rsidRDefault="009A74E2" w:rsidP="009A74E2">
            <w:pPr>
              <w:jc w:val="center"/>
              <w:rPr>
                <w:rFonts w:ascii="Arial" w:hAnsi="Arial" w:cs="Arial"/>
                <w:b/>
              </w:rPr>
            </w:pPr>
            <w:r w:rsidRPr="008A3DF5">
              <w:rPr>
                <w:rFonts w:ascii="Arial" w:hAnsi="Arial" w:cs="Arial"/>
                <w:b/>
              </w:rPr>
              <w:t>(m² sabin)</w:t>
            </w:r>
          </w:p>
        </w:tc>
      </w:tr>
      <w:tr w:rsidR="009A74E2" w:rsidRPr="00184B91" w:rsidTr="009A74E2">
        <w:trPr>
          <w:trHeight w:val="25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8A3DF5">
            <w:pPr>
              <w:jc w:val="center"/>
              <w:rPr>
                <w:rFonts w:ascii="Arial" w:hAnsi="Arial" w:cs="Arial"/>
                <w:i/>
              </w:rPr>
            </w:pPr>
            <w:r w:rsidRPr="008A3DF5">
              <w:rPr>
                <w:rFonts w:ascii="Arial" w:hAnsi="Arial" w:cs="Arial"/>
                <w:i/>
              </w:rPr>
              <w:t>Dim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8A3DF5">
            <w:pPr>
              <w:jc w:val="center"/>
              <w:rPr>
                <w:rFonts w:ascii="Arial" w:hAnsi="Arial" w:cs="Arial"/>
                <w:i/>
              </w:rPr>
            </w:pPr>
            <w:r w:rsidRPr="008A3DF5">
              <w:rPr>
                <w:rFonts w:ascii="Arial" w:hAnsi="Arial" w:cs="Arial"/>
                <w:i/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8A3DF5">
            <w:pPr>
              <w:jc w:val="center"/>
              <w:rPr>
                <w:rFonts w:ascii="Arial" w:hAnsi="Arial" w:cs="Arial"/>
                <w:i/>
              </w:rPr>
            </w:pPr>
            <w:r w:rsidRPr="008A3DF5">
              <w:rPr>
                <w:rFonts w:ascii="Arial" w:hAnsi="Arial" w:cs="Arial"/>
                <w:i/>
              </w:rPr>
              <w:t>mm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9A74E2">
            <w:pPr>
              <w:ind w:hanging="3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125 </w:t>
            </w:r>
            <w:r w:rsidRPr="008A3DF5">
              <w:rPr>
                <w:rFonts w:ascii="Arial" w:hAnsi="Arial" w:cs="Arial"/>
                <w:i/>
              </w:rPr>
              <w:t>Hz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8A3DF5">
            <w:pPr>
              <w:jc w:val="center"/>
              <w:rPr>
                <w:rFonts w:ascii="Arial" w:hAnsi="Arial" w:cs="Arial"/>
                <w:i/>
              </w:rPr>
            </w:pPr>
            <w:r w:rsidRPr="008A3DF5">
              <w:rPr>
                <w:rFonts w:ascii="Arial" w:hAnsi="Arial" w:cs="Arial"/>
                <w:i/>
              </w:rPr>
              <w:t>250 Hz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8A3DF5">
            <w:pPr>
              <w:jc w:val="center"/>
              <w:rPr>
                <w:rFonts w:ascii="Arial" w:hAnsi="Arial" w:cs="Arial"/>
                <w:i/>
              </w:rPr>
            </w:pPr>
            <w:r w:rsidRPr="008A3DF5">
              <w:rPr>
                <w:rFonts w:ascii="Arial" w:hAnsi="Arial" w:cs="Arial"/>
                <w:i/>
              </w:rPr>
              <w:t>500 Hz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8A3DF5">
            <w:pPr>
              <w:jc w:val="center"/>
              <w:rPr>
                <w:rFonts w:ascii="Arial" w:hAnsi="Arial" w:cs="Arial"/>
                <w:i/>
              </w:rPr>
            </w:pPr>
            <w:r w:rsidRPr="008A3DF5">
              <w:rPr>
                <w:rFonts w:ascii="Arial" w:hAnsi="Arial" w:cs="Arial"/>
                <w:i/>
              </w:rPr>
              <w:t>1000 Hz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8A3DF5">
            <w:pPr>
              <w:jc w:val="center"/>
              <w:rPr>
                <w:rFonts w:ascii="Arial" w:hAnsi="Arial" w:cs="Arial"/>
                <w:i/>
              </w:rPr>
            </w:pPr>
            <w:r w:rsidRPr="008A3DF5">
              <w:rPr>
                <w:rFonts w:ascii="Arial" w:hAnsi="Arial" w:cs="Arial"/>
                <w:i/>
              </w:rPr>
              <w:t>2000 Hz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8A3DF5" w:rsidRDefault="009A74E2" w:rsidP="008A3DF5">
            <w:pPr>
              <w:jc w:val="center"/>
              <w:rPr>
                <w:rFonts w:ascii="Arial" w:hAnsi="Arial" w:cs="Arial"/>
                <w:i/>
              </w:rPr>
            </w:pPr>
            <w:r w:rsidRPr="008A3DF5">
              <w:rPr>
                <w:rFonts w:ascii="Arial" w:hAnsi="Arial" w:cs="Arial"/>
                <w:i/>
              </w:rPr>
              <w:t>4000 Hz</w:t>
            </w:r>
          </w:p>
        </w:tc>
      </w:tr>
      <w:tr w:rsidR="009A74E2" w:rsidRPr="00184B91" w:rsidTr="009A74E2">
        <w:trPr>
          <w:trHeight w:val="25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1200x1200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3A42B8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0,</w:t>
            </w:r>
            <w:r w:rsidR="003A42B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3A42B8">
              <w:rPr>
                <w:rFonts w:ascii="Arial" w:hAnsi="Arial" w:cs="Arial"/>
              </w:rPr>
              <w:t>2</w:t>
            </w:r>
          </w:p>
        </w:tc>
      </w:tr>
      <w:tr w:rsidR="009A74E2" w:rsidRPr="00184B91" w:rsidTr="009A74E2">
        <w:trPr>
          <w:trHeight w:val="25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1200x1200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1,</w:t>
            </w:r>
            <w:r w:rsidR="003A42B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2,</w:t>
            </w:r>
            <w:r w:rsidR="003A42B8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2,</w:t>
            </w:r>
            <w:r w:rsidR="003A42B8">
              <w:rPr>
                <w:rFonts w:ascii="Arial" w:hAnsi="Arial" w:cs="Arial"/>
              </w:rPr>
              <w:t>6</w:t>
            </w:r>
          </w:p>
        </w:tc>
      </w:tr>
      <w:tr w:rsidR="009A74E2" w:rsidRPr="00184B91" w:rsidTr="009A74E2">
        <w:trPr>
          <w:trHeight w:val="25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1200x1200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0,</w:t>
            </w:r>
            <w:r w:rsidR="003A42B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3A42B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9A74E2" w:rsidP="008A3DF5">
            <w:pPr>
              <w:jc w:val="center"/>
              <w:rPr>
                <w:rFonts w:ascii="Arial" w:hAnsi="Arial" w:cs="Arial"/>
              </w:rPr>
            </w:pPr>
            <w:r w:rsidRPr="00184B91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3A42B8" w:rsidP="008A3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E2" w:rsidRPr="00184B91" w:rsidRDefault="003A42B8" w:rsidP="008A3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</w:tbl>
    <w:p w:rsidR="00620A64" w:rsidRDefault="00620A64" w:rsidP="004D26E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1A095B" w:rsidRDefault="008A3DF5" w:rsidP="004D26E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84B91" w:rsidRDefault="00184B9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566F9">
        <w:rPr>
          <w:rFonts w:ascii="Arial" w:hAnsi="Arial" w:cs="Arial"/>
          <w:b/>
          <w:sz w:val="18"/>
          <w:szCs w:val="18"/>
        </w:rPr>
        <w:t>Accessibilité :</w:t>
      </w:r>
      <w:r w:rsidRPr="0095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Les p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anneaux </w:t>
      </w:r>
      <w:r>
        <w:rPr>
          <w:rFonts w:ascii="Arial" w:hAnsi="Arial" w:cs="Arial"/>
          <w:color w:val="000000"/>
          <w:sz w:val="18"/>
          <w:szCs w:val="18"/>
        </w:rPr>
        <w:t xml:space="preserve">seront </w:t>
      </w:r>
      <w:r w:rsidRPr="009566F9">
        <w:rPr>
          <w:rFonts w:ascii="Arial" w:hAnsi="Arial" w:cs="Arial"/>
          <w:color w:val="000000"/>
          <w:sz w:val="18"/>
          <w:szCs w:val="18"/>
        </w:rPr>
        <w:t>démontables</w:t>
      </w:r>
      <w:r>
        <w:rPr>
          <w:rFonts w:ascii="Arial" w:hAnsi="Arial" w:cs="Arial"/>
          <w:color w:val="000000"/>
          <w:sz w:val="18"/>
          <w:szCs w:val="18"/>
        </w:rPr>
        <w:t xml:space="preserve"> et l’accroche sécurisée des crochets 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ajustables </w:t>
      </w:r>
      <w:r>
        <w:rPr>
          <w:rFonts w:ascii="Arial" w:hAnsi="Arial" w:cs="Arial"/>
          <w:color w:val="000000"/>
          <w:sz w:val="18"/>
          <w:szCs w:val="18"/>
        </w:rPr>
        <w:t>aux vis empêchera tout décrochement accidentel.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panneaux auront une classe de réaction au feu </w:t>
      </w:r>
      <w:r w:rsidR="003A42B8">
        <w:rPr>
          <w:rFonts w:ascii="Arial" w:hAnsi="Arial" w:cs="Arial"/>
          <w:bCs/>
          <w:sz w:val="18"/>
          <w:szCs w:val="18"/>
        </w:rPr>
        <w:t>B</w:t>
      </w:r>
      <w:r w:rsidR="00D23E32" w:rsidRPr="003A42B8">
        <w:rPr>
          <w:rFonts w:ascii="Arial" w:hAnsi="Arial" w:cs="Arial"/>
          <w:bCs/>
          <w:sz w:val="18"/>
          <w:szCs w:val="18"/>
        </w:rPr>
        <w:t>-s1</w:t>
      </w:r>
      <w:r w:rsidRPr="003A42B8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Le panneau en laine de verre sera testé et classé non combustible selon la norme EN ISO 1182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4D26EA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panneaux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 atteindre 70% d’humidité relative à une température de 25°C . Ils seront testés suivant la norme EN 13964 :2014, Annexe F.</w:t>
      </w:r>
    </w:p>
    <w:p w:rsidR="00A77A46" w:rsidRPr="00A22B0C" w:rsidRDefault="00A77A46" w:rsidP="004D26EA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D26E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</w:t>
      </w:r>
      <w:r w:rsidR="00525BA4">
        <w:rPr>
          <w:rFonts w:ascii="Arial" w:hAnsi="Arial" w:cs="Arial"/>
          <w:sz w:val="18"/>
          <w:szCs w:val="18"/>
        </w:rPr>
        <w:t xml:space="preserve"> du 19 avril 2011), de classe A</w:t>
      </w:r>
      <w:r w:rsidR="00037EDE" w:rsidRPr="00A22B0C">
        <w:rPr>
          <w:rFonts w:ascii="Arial" w:hAnsi="Arial" w:cs="Arial"/>
          <w:sz w:val="18"/>
          <w:szCs w:val="18"/>
        </w:rPr>
        <w:t>.</w:t>
      </w:r>
      <w:r w:rsidR="00037EDE" w:rsidRPr="00D510DB">
        <w:rPr>
          <w:rFonts w:ascii="Arial" w:hAnsi="Arial" w:cs="Arial"/>
          <w:sz w:val="18"/>
          <w:szCs w:val="18"/>
        </w:rPr>
        <w:t xml:space="preserve">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Les panneaux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037EDE" w:rsidRPr="001A095B" w:rsidRDefault="00037EDE" w:rsidP="004D26EA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ou nettoyé avec un chiffon humide une fois par semaine.</w:t>
      </w:r>
    </w:p>
    <w:p w:rsidR="00037EDE" w:rsidRPr="001A095B" w:rsidRDefault="00037EDE" w:rsidP="004D26EA">
      <w:pPr>
        <w:jc w:val="both"/>
        <w:rPr>
          <w:rFonts w:ascii="Arial" w:hAnsi="Arial" w:cs="Arial"/>
          <w:sz w:val="18"/>
          <w:szCs w:val="18"/>
        </w:rPr>
      </w:pPr>
    </w:p>
    <w:p w:rsidR="00037EDE" w:rsidRDefault="00037EDE" w:rsidP="00F46417">
      <w:pPr>
        <w:rPr>
          <w:rFonts w:ascii="Arial" w:hAnsi="Arial" w:cs="Arial"/>
          <w:noProof/>
          <w:sz w:val="18"/>
          <w:szCs w:val="18"/>
        </w:rPr>
      </w:pPr>
    </w:p>
    <w:p w:rsidR="00037EDE" w:rsidRDefault="00037EDE" w:rsidP="00F46417">
      <w:pPr>
        <w:rPr>
          <w:rFonts w:ascii="Arial" w:hAnsi="Arial" w:cs="Arial"/>
          <w:noProof/>
          <w:sz w:val="18"/>
          <w:szCs w:val="18"/>
        </w:rPr>
      </w:pPr>
    </w:p>
    <w:p w:rsidR="00037EDE" w:rsidRDefault="00037EDE" w:rsidP="00F46417">
      <w:pPr>
        <w:rPr>
          <w:rFonts w:ascii="Arial" w:hAnsi="Arial" w:cs="Arial"/>
          <w:noProof/>
          <w:sz w:val="18"/>
          <w:szCs w:val="18"/>
        </w:rPr>
      </w:pPr>
    </w:p>
    <w:p w:rsidR="00037EDE" w:rsidRDefault="00037EDE" w:rsidP="00F46417">
      <w:pPr>
        <w:rPr>
          <w:rFonts w:ascii="Arial" w:hAnsi="Arial" w:cs="Arial"/>
          <w:noProof/>
          <w:sz w:val="18"/>
          <w:szCs w:val="18"/>
        </w:rPr>
      </w:pPr>
    </w:p>
    <w:p w:rsidR="00037EDE" w:rsidRDefault="00037EDE" w:rsidP="00F46417">
      <w:pPr>
        <w:rPr>
          <w:rFonts w:ascii="Arial" w:hAnsi="Arial" w:cs="Arial"/>
          <w:noProof/>
          <w:sz w:val="18"/>
          <w:szCs w:val="18"/>
        </w:rPr>
      </w:pPr>
    </w:p>
    <w:p w:rsidR="00D23E32" w:rsidRDefault="00D23E32" w:rsidP="00F46417">
      <w:pPr>
        <w:rPr>
          <w:rFonts w:ascii="Arial" w:hAnsi="Arial" w:cs="Arial"/>
          <w:sz w:val="18"/>
          <w:szCs w:val="18"/>
        </w:rPr>
      </w:pPr>
    </w:p>
    <w:p w:rsidR="00620A64" w:rsidRPr="00F46417" w:rsidRDefault="00620A64" w:rsidP="00066042">
      <w:pPr>
        <w:tabs>
          <w:tab w:val="left" w:pos="2268"/>
          <w:tab w:val="left" w:pos="3544"/>
          <w:tab w:val="left" w:pos="5387"/>
        </w:tabs>
        <w:rPr>
          <w:rFonts w:ascii="Arial" w:hAnsi="Arial" w:cs="Arial"/>
          <w:strike/>
          <w:sz w:val="18"/>
          <w:szCs w:val="18"/>
        </w:rPr>
      </w:pPr>
    </w:p>
    <w:sectPr w:rsidR="00620A64" w:rsidRPr="00F46417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F8" w:rsidRDefault="004D74F8" w:rsidP="004419EE">
      <w:r>
        <w:separator/>
      </w:r>
    </w:p>
  </w:endnote>
  <w:endnote w:type="continuationSeparator" w:id="0">
    <w:p w:rsidR="004D74F8" w:rsidRDefault="004D74F8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F8" w:rsidRDefault="004D74F8" w:rsidP="004419EE">
      <w:r>
        <w:separator/>
      </w:r>
    </w:p>
  </w:footnote>
  <w:footnote w:type="continuationSeparator" w:id="0">
    <w:p w:rsidR="004D74F8" w:rsidRDefault="004D74F8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>
      <w:rPr>
        <w:rFonts w:ascii="Arial" w:hAnsi="Arial" w:cs="Arial"/>
        <w:sz w:val="12"/>
      </w:rPr>
      <w:t>jour Avril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F20D5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A42B8"/>
    <w:rsid w:val="003B3435"/>
    <w:rsid w:val="003B3DF7"/>
    <w:rsid w:val="003B56F3"/>
    <w:rsid w:val="003F7F10"/>
    <w:rsid w:val="004036A1"/>
    <w:rsid w:val="00407743"/>
    <w:rsid w:val="00411398"/>
    <w:rsid w:val="00414652"/>
    <w:rsid w:val="0042078C"/>
    <w:rsid w:val="00436B0F"/>
    <w:rsid w:val="004419EE"/>
    <w:rsid w:val="004531D3"/>
    <w:rsid w:val="00453F70"/>
    <w:rsid w:val="0046615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D74F8"/>
    <w:rsid w:val="004E648E"/>
    <w:rsid w:val="00504005"/>
    <w:rsid w:val="00507A2F"/>
    <w:rsid w:val="00525BA4"/>
    <w:rsid w:val="00530EE8"/>
    <w:rsid w:val="00541FCF"/>
    <w:rsid w:val="00553F12"/>
    <w:rsid w:val="00554424"/>
    <w:rsid w:val="0055754A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54EE"/>
    <w:rsid w:val="00687817"/>
    <w:rsid w:val="006903F8"/>
    <w:rsid w:val="006929B3"/>
    <w:rsid w:val="006A14CA"/>
    <w:rsid w:val="006A354E"/>
    <w:rsid w:val="006A65E9"/>
    <w:rsid w:val="006A6D01"/>
    <w:rsid w:val="006B0498"/>
    <w:rsid w:val="006B2DF5"/>
    <w:rsid w:val="006B7BA8"/>
    <w:rsid w:val="006D76C7"/>
    <w:rsid w:val="006E3F32"/>
    <w:rsid w:val="00700F9E"/>
    <w:rsid w:val="007039FE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6182"/>
    <w:rsid w:val="00791684"/>
    <w:rsid w:val="00796E2D"/>
    <w:rsid w:val="007D0494"/>
    <w:rsid w:val="007D6F93"/>
    <w:rsid w:val="007D7447"/>
    <w:rsid w:val="007E2344"/>
    <w:rsid w:val="007E328E"/>
    <w:rsid w:val="007E3854"/>
    <w:rsid w:val="007E59A8"/>
    <w:rsid w:val="007F1184"/>
    <w:rsid w:val="007F1C80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D0EF2"/>
    <w:rsid w:val="008E0092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364A5"/>
    <w:rsid w:val="00941EF0"/>
    <w:rsid w:val="009440D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6B7F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AF3F22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86086"/>
    <w:rsid w:val="00BB17A8"/>
    <w:rsid w:val="00BB431E"/>
    <w:rsid w:val="00BB4A55"/>
    <w:rsid w:val="00BC23A4"/>
    <w:rsid w:val="00BD30FF"/>
    <w:rsid w:val="00BD34D6"/>
    <w:rsid w:val="00C02623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73CE3"/>
    <w:rsid w:val="00C9203F"/>
    <w:rsid w:val="00C92080"/>
    <w:rsid w:val="00CA0E8D"/>
    <w:rsid w:val="00CA56C8"/>
    <w:rsid w:val="00CA63EA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30F8D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6677"/>
    <w:rsid w:val="00F57F70"/>
    <w:rsid w:val="00F6158E"/>
    <w:rsid w:val="00F77F5C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925DF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5</cp:revision>
  <dcterms:created xsi:type="dcterms:W3CDTF">2020-04-21T16:35:00Z</dcterms:created>
  <dcterms:modified xsi:type="dcterms:W3CDTF">2020-07-22T15:09:00Z</dcterms:modified>
</cp:coreProperties>
</file>