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06" w:rsidRDefault="00732B06" w:rsidP="00B01F7A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732B06" w:rsidRPr="00AC0475" w:rsidRDefault="00732B06" w:rsidP="001642C7">
      <w:pPr>
        <w:rPr>
          <w:rFonts w:ascii="Arial" w:hAnsi="Arial" w:cs="Arial"/>
          <w:sz w:val="22"/>
          <w:szCs w:val="22"/>
        </w:rPr>
      </w:pPr>
    </w:p>
    <w:p w:rsidR="00732B06" w:rsidRPr="00AC0475" w:rsidRDefault="007613AD" w:rsidP="001642C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6FEBDD" wp14:editId="39B84A3D">
            <wp:simplePos x="0" y="0"/>
            <wp:positionH relativeFrom="column">
              <wp:posOffset>4358005</wp:posOffset>
            </wp:positionH>
            <wp:positionV relativeFrom="paragraph">
              <wp:posOffset>153035</wp:posOffset>
            </wp:positionV>
            <wp:extent cx="800100" cy="492125"/>
            <wp:effectExtent l="0" t="0" r="0" b="3175"/>
            <wp:wrapSquare wrapText="bothSides"/>
            <wp:docPr id="2381" name="Picture 12" descr="MASTER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12" descr="MASTER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B06" w:rsidRDefault="007613AD" w:rsidP="00B01F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A4243" wp14:editId="7EACB38B">
                <wp:simplePos x="0" y="0"/>
                <wp:positionH relativeFrom="column">
                  <wp:posOffset>2691129</wp:posOffset>
                </wp:positionH>
                <wp:positionV relativeFrom="paragraph">
                  <wp:posOffset>87630</wp:posOffset>
                </wp:positionV>
                <wp:extent cx="3514725" cy="3429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06" w:rsidRPr="00D634E7" w:rsidRDefault="00732B06" w:rsidP="001642C7">
                            <w:pPr>
                              <w:rPr>
                                <w:b/>
                              </w:rPr>
                            </w:pPr>
                            <w:r w:rsidRPr="00D634E7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Panneaux collés</w:t>
                            </w:r>
                            <w:r w:rsidR="007613AD" w:rsidRPr="007613A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9pt;margin-top:6.9pt;width:276.75pt;height:2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" strokecolor="white">
                <v:textbox>
                  <w:txbxContent>
                    <w:p w:rsidR="00732B06" w:rsidRPr="00D634E7" w:rsidRDefault="00732B06" w:rsidP="001642C7">
                      <w:pPr>
                        <w:rPr>
                          <w:b/>
                        </w:rPr>
                      </w:pPr>
                      <w:r w:rsidRPr="00D634E7"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Panneaux collés</w:t>
                      </w:r>
                      <w:r w:rsidR="007613AD" w:rsidRPr="007613AD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2B06" w:rsidRPr="00B01F7A" w:rsidRDefault="00732B06" w:rsidP="00B01F7A">
      <w:pPr>
        <w:pStyle w:val="ECOPHONTITRE3B"/>
      </w:pPr>
      <w:r w:rsidRPr="00B01F7A">
        <w:t>MASTER B</w:t>
      </w:r>
    </w:p>
    <w:p w:rsidR="00732B06" w:rsidRDefault="00732B06" w:rsidP="001642C7">
      <w:pPr>
        <w:pStyle w:val="Notedebasdepage"/>
        <w:rPr>
          <w:rFonts w:ascii="Arial" w:hAnsi="Arial" w:cs="Arial"/>
          <w:sz w:val="24"/>
          <w:szCs w:val="24"/>
        </w:rPr>
      </w:pPr>
    </w:p>
    <w:p w:rsidR="00732B06" w:rsidRPr="00417B93" w:rsidRDefault="00732B06" w:rsidP="001642C7">
      <w:pPr>
        <w:pStyle w:val="Notedebasdepage"/>
        <w:rPr>
          <w:rFonts w:ascii="Arial" w:hAnsi="Arial" w:cs="Arial"/>
          <w:sz w:val="24"/>
          <w:szCs w:val="24"/>
        </w:rPr>
      </w:pPr>
    </w:p>
    <w:p w:rsidR="007A478A" w:rsidRPr="006675B5" w:rsidRDefault="007A478A" w:rsidP="007A478A">
      <w:pPr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6675B5">
        <w:rPr>
          <w:rFonts w:ascii="Arial" w:eastAsiaTheme="minorHAnsi" w:hAnsi="Arial" w:cs="Arial"/>
          <w:sz w:val="18"/>
          <w:szCs w:val="18"/>
          <w:lang w:eastAsia="en-US"/>
        </w:rPr>
        <w:t xml:space="preserve">Le plafond sera constitué de panneaux </w:t>
      </w:r>
      <w:r w:rsidRPr="00865E16">
        <w:rPr>
          <w:rFonts w:ascii="Arial" w:eastAsiaTheme="minorHAnsi" w:hAnsi="Arial" w:cs="Arial"/>
          <w:b/>
          <w:sz w:val="18"/>
          <w:szCs w:val="18"/>
          <w:lang w:eastAsia="en-US"/>
        </w:rPr>
        <w:t>type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>Master</w:t>
      </w:r>
      <w:r w:rsidRPr="006675B5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7A50EC">
        <w:rPr>
          <w:rFonts w:ascii="Arial" w:eastAsiaTheme="minorHAnsi" w:hAnsi="Arial" w:cs="Arial"/>
          <w:sz w:val="18"/>
          <w:szCs w:val="18"/>
          <w:lang w:eastAsia="en-US"/>
        </w:rPr>
        <w:t xml:space="preserve">en </w:t>
      </w:r>
      <w:r>
        <w:rPr>
          <w:rFonts w:ascii="Arial" w:eastAsiaTheme="minorHAnsi" w:hAnsi="Arial" w:cs="Arial"/>
          <w:sz w:val="18"/>
          <w:szCs w:val="18"/>
          <w:lang w:eastAsia="en-US"/>
        </w:rPr>
        <w:t>bord B et ép. 4</w:t>
      </w:r>
      <w:r w:rsidRPr="007A50EC">
        <w:rPr>
          <w:rFonts w:ascii="Arial" w:eastAsiaTheme="minorHAnsi" w:hAnsi="Arial" w:cs="Arial"/>
          <w:sz w:val="18"/>
          <w:szCs w:val="18"/>
          <w:lang w:eastAsia="en-US"/>
        </w:rPr>
        <w:t>0 mm</w:t>
      </w:r>
      <w:r w:rsidRPr="006675B5">
        <w:rPr>
          <w:rFonts w:ascii="Arial" w:eastAsiaTheme="minorHAnsi" w:hAnsi="Arial" w:cs="Arial"/>
          <w:sz w:val="18"/>
          <w:szCs w:val="18"/>
          <w:lang w:eastAsia="en-US"/>
        </w:rPr>
        <w:t xml:space="preserve"> en module de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600</w:t>
      </w:r>
      <w:r w:rsidRPr="006675B5">
        <w:rPr>
          <w:rFonts w:ascii="Arial" w:eastAsiaTheme="minorHAnsi" w:hAnsi="Arial" w:cs="Arial"/>
          <w:sz w:val="18"/>
          <w:szCs w:val="18"/>
          <w:lang w:eastAsia="en-US"/>
        </w:rPr>
        <w:t>x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600 </w:t>
      </w:r>
      <w:r w:rsidRPr="006675B5">
        <w:rPr>
          <w:rFonts w:ascii="Arial" w:eastAsiaTheme="minorHAnsi" w:hAnsi="Arial" w:cs="Arial"/>
          <w:sz w:val="18"/>
          <w:szCs w:val="18"/>
          <w:lang w:eastAsia="en-US"/>
        </w:rPr>
        <w:t xml:space="preserve">mm </w:t>
      </w:r>
      <w:r w:rsidRPr="006675B5">
        <w:rPr>
          <w:rFonts w:ascii="Arial" w:hAnsi="Arial" w:cs="Arial"/>
          <w:sz w:val="18"/>
          <w:szCs w:val="18"/>
        </w:rPr>
        <w:t>posés bord à bord et collés sous un support propre et lisse (dalle béton, plâtre</w:t>
      </w:r>
      <w:r>
        <w:rPr>
          <w:rFonts w:ascii="Arial" w:hAnsi="Arial" w:cs="Arial"/>
          <w:sz w:val="18"/>
          <w:szCs w:val="18"/>
        </w:rPr>
        <w:t xml:space="preserve">, etc.). </w:t>
      </w:r>
      <w:r w:rsidRPr="00AA0A24">
        <w:rPr>
          <w:rFonts w:ascii="Arial" w:hAnsi="Arial" w:cs="Arial"/>
          <w:sz w:val="18"/>
          <w:szCs w:val="18"/>
        </w:rPr>
        <w:t xml:space="preserve">On utilisera la colle acoustique </w:t>
      </w:r>
      <w:r w:rsidRPr="008C47F5">
        <w:rPr>
          <w:rFonts w:ascii="Arial" w:hAnsi="Arial" w:cs="Arial"/>
          <w:b/>
          <w:sz w:val="18"/>
          <w:szCs w:val="18"/>
        </w:rPr>
        <w:t>type Connect</w:t>
      </w:r>
      <w:r w:rsidRPr="00AA0A24">
        <w:rPr>
          <w:rFonts w:ascii="Arial" w:hAnsi="Arial" w:cs="Arial"/>
          <w:sz w:val="18"/>
          <w:szCs w:val="18"/>
        </w:rPr>
        <w:t xml:space="preserve"> pour une installation rapide.</w:t>
      </w:r>
      <w:r>
        <w:rPr>
          <w:rFonts w:ascii="Arial" w:hAnsi="Arial" w:cs="Arial"/>
          <w:sz w:val="18"/>
          <w:szCs w:val="18"/>
        </w:rPr>
        <w:t xml:space="preserve"> Le plafond sera utilisé lorsque la hauteur du plénum sera inexistante.</w:t>
      </w:r>
    </w:p>
    <w:p w:rsidR="007A478A" w:rsidRPr="006675B5" w:rsidRDefault="007A478A" w:rsidP="007A478A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7A478A" w:rsidRPr="006675B5" w:rsidRDefault="007A478A" w:rsidP="007A478A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de verre </w:t>
      </w:r>
      <w:r w:rsidR="0062033D">
        <w:rPr>
          <w:rFonts w:ascii="Arial" w:hAnsi="Arial" w:cs="Arial"/>
          <w:color w:val="000000"/>
          <w:sz w:val="18"/>
          <w:szCs w:val="18"/>
        </w:rPr>
        <w:t>de haute densité 3</w:t>
      </w:r>
      <w:r w:rsidR="0062033D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62033D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62033D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 </w:t>
      </w:r>
      <w:r w:rsidRPr="008C47F5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l’eau,</w:t>
      </w:r>
      <w:r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verre.</w:t>
      </w:r>
      <w:r>
        <w:rPr>
          <w:rFonts w:ascii="Arial" w:hAnsi="Arial" w:cs="Arial"/>
          <w:sz w:val="18"/>
          <w:szCs w:val="18"/>
        </w:rPr>
        <w:t xml:space="preserve"> Les bords seront </w:t>
      </w:r>
      <w:r w:rsidRPr="006675B5">
        <w:rPr>
          <w:rFonts w:ascii="Arial" w:hAnsi="Arial" w:cs="Arial"/>
          <w:sz w:val="18"/>
          <w:szCs w:val="18"/>
        </w:rPr>
        <w:t>biseautés et  peints. Le bord B sera laissé apparent lorsque les dalles s</w:t>
      </w:r>
      <w:r>
        <w:rPr>
          <w:rFonts w:ascii="Arial" w:hAnsi="Arial" w:cs="Arial"/>
          <w:sz w:val="18"/>
          <w:szCs w:val="18"/>
        </w:rPr>
        <w:t>er</w:t>
      </w:r>
      <w:r w:rsidRPr="006675B5">
        <w:rPr>
          <w:rFonts w:ascii="Arial" w:hAnsi="Arial" w:cs="Arial"/>
          <w:sz w:val="18"/>
          <w:szCs w:val="18"/>
        </w:rPr>
        <w:t xml:space="preserve">ont collées à distance des murs. </w:t>
      </w:r>
    </w:p>
    <w:p w:rsidR="00732B06" w:rsidRDefault="00732B06" w:rsidP="001642C7">
      <w:pPr>
        <w:jc w:val="both"/>
        <w:rPr>
          <w:rFonts w:ascii="Arial" w:hAnsi="Arial" w:cs="Arial"/>
          <w:sz w:val="18"/>
          <w:szCs w:val="18"/>
        </w:rPr>
      </w:pPr>
    </w:p>
    <w:p w:rsidR="00D53BB0" w:rsidRPr="00D53BB0" w:rsidRDefault="00732B06" w:rsidP="004C660E">
      <w:pPr>
        <w:spacing w:after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>:</w:t>
      </w:r>
      <w:r w:rsidR="00D53BB0">
        <w:rPr>
          <w:rFonts w:ascii="Arial" w:hAnsi="Arial" w:cs="Arial"/>
          <w:sz w:val="18"/>
          <w:szCs w:val="18"/>
        </w:rPr>
        <w:t xml:space="preserve"> </w:t>
      </w:r>
      <w:r w:rsidR="00D53BB0" w:rsidRPr="00D53BB0">
        <w:rPr>
          <w:rFonts w:ascii="Arial" w:hAnsi="Arial" w:cs="Arial"/>
          <w:sz w:val="18"/>
          <w:szCs w:val="18"/>
        </w:rPr>
        <w:t xml:space="preserve">Le plafond sera de classe d’absorption acoustique </w:t>
      </w:r>
      <w:r w:rsidR="00691C66">
        <w:rPr>
          <w:rFonts w:ascii="Arial" w:hAnsi="Arial" w:cs="Arial"/>
          <w:sz w:val="18"/>
          <w:szCs w:val="18"/>
        </w:rPr>
        <w:t>A</w:t>
      </w:r>
      <w:r w:rsidR="00D53BB0" w:rsidRPr="00D53BB0">
        <w:rPr>
          <w:rFonts w:ascii="Arial" w:hAnsi="Arial" w:cs="Arial"/>
          <w:sz w:val="18"/>
          <w:szCs w:val="18"/>
        </w:rPr>
        <w:t xml:space="preserve">, aura </w:t>
      </w:r>
      <w:r w:rsidR="00D53BB0">
        <w:rPr>
          <w:rFonts w:ascii="Arial" w:hAnsi="Arial" w:cs="Arial"/>
          <w:sz w:val="18"/>
          <w:szCs w:val="18"/>
        </w:rPr>
        <w:t>un coefficient α</w:t>
      </w:r>
      <w:r w:rsidR="00D53BB0" w:rsidRPr="00D53BB0">
        <w:rPr>
          <w:rFonts w:ascii="Arial" w:hAnsi="Arial" w:cs="Arial"/>
          <w:sz w:val="18"/>
          <w:szCs w:val="18"/>
        </w:rPr>
        <w:t xml:space="preserve">w de </w:t>
      </w:r>
      <w:r w:rsidR="00E012A2">
        <w:rPr>
          <w:rFonts w:ascii="Arial" w:hAnsi="Arial" w:cs="Arial"/>
          <w:sz w:val="18"/>
          <w:szCs w:val="18"/>
        </w:rPr>
        <w:t>1.00</w:t>
      </w:r>
      <w:r w:rsidR="00D53BB0" w:rsidRPr="00D53BB0">
        <w:rPr>
          <w:rFonts w:ascii="Arial" w:hAnsi="Arial" w:cs="Arial"/>
          <w:sz w:val="18"/>
          <w:szCs w:val="18"/>
        </w:rPr>
        <w:t xml:space="preserve"> et un coefficient d’absorption Alpha Sabine (</w:t>
      </w:r>
      <w:proofErr w:type="spellStart"/>
      <w:r w:rsidR="00D53BB0" w:rsidRPr="00D53BB0">
        <w:rPr>
          <w:rFonts w:ascii="Arial" w:hAnsi="Arial" w:cs="Arial"/>
          <w:sz w:val="18"/>
          <w:szCs w:val="18"/>
        </w:rPr>
        <w:t>hht</w:t>
      </w:r>
      <w:proofErr w:type="spellEnd"/>
      <w:r w:rsidR="00D53BB0" w:rsidRPr="00D53BB0">
        <w:rPr>
          <w:rFonts w:ascii="Arial" w:hAnsi="Arial" w:cs="Arial"/>
          <w:sz w:val="18"/>
          <w:szCs w:val="18"/>
        </w:rPr>
        <w:t xml:space="preserve">  =  43 mm) de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D53BB0" w:rsidRPr="00D53BB0" w:rsidTr="005C2951">
        <w:trPr>
          <w:trHeight w:val="360"/>
        </w:trPr>
        <w:tc>
          <w:tcPr>
            <w:tcW w:w="1285" w:type="dxa"/>
            <w:vAlign w:val="center"/>
          </w:tcPr>
          <w:p w:rsidR="00D53BB0" w:rsidRPr="00D53BB0" w:rsidRDefault="00D53BB0" w:rsidP="00D53B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D53BB0" w:rsidRPr="00D53BB0" w:rsidRDefault="00D53BB0" w:rsidP="00D53BB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53BB0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D53BB0" w:rsidRPr="00D53BB0" w:rsidRDefault="00D53BB0" w:rsidP="00D53BB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53BB0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D53BB0" w:rsidRPr="00D53BB0" w:rsidRDefault="00D53BB0" w:rsidP="00D53BB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53BB0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D53BB0" w:rsidRPr="00D53BB0" w:rsidRDefault="00D53BB0" w:rsidP="00D53BB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53BB0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D53BB0" w:rsidRPr="00D53BB0" w:rsidRDefault="00D53BB0" w:rsidP="00D53BB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53BB0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86" w:type="dxa"/>
            <w:vAlign w:val="center"/>
          </w:tcPr>
          <w:p w:rsidR="00D53BB0" w:rsidRPr="00D53BB0" w:rsidRDefault="00D53BB0" w:rsidP="00D53BB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53BB0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D53BB0" w:rsidRPr="00D53BB0" w:rsidTr="005C2951">
        <w:trPr>
          <w:trHeight w:val="360"/>
        </w:trPr>
        <w:tc>
          <w:tcPr>
            <w:tcW w:w="1285" w:type="dxa"/>
            <w:vAlign w:val="center"/>
          </w:tcPr>
          <w:p w:rsidR="00D53BB0" w:rsidRPr="00D53BB0" w:rsidRDefault="004C660E" w:rsidP="00D53B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Bord B</w:t>
            </w:r>
          </w:p>
        </w:tc>
        <w:tc>
          <w:tcPr>
            <w:tcW w:w="1286" w:type="dxa"/>
            <w:vAlign w:val="center"/>
          </w:tcPr>
          <w:p w:rsidR="00D53BB0" w:rsidRPr="00D53BB0" w:rsidRDefault="00E012A2" w:rsidP="00D53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286" w:type="dxa"/>
            <w:vAlign w:val="center"/>
          </w:tcPr>
          <w:p w:rsidR="00D53BB0" w:rsidRPr="00D53BB0" w:rsidRDefault="005C53A1" w:rsidP="00D53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1286" w:type="dxa"/>
            <w:vAlign w:val="center"/>
          </w:tcPr>
          <w:p w:rsidR="00D53BB0" w:rsidRPr="00D53BB0" w:rsidRDefault="00E012A2" w:rsidP="00D53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86" w:type="dxa"/>
            <w:vAlign w:val="center"/>
          </w:tcPr>
          <w:p w:rsidR="00D53BB0" w:rsidRPr="00D53BB0" w:rsidRDefault="00E012A2" w:rsidP="00D53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86" w:type="dxa"/>
            <w:vAlign w:val="center"/>
          </w:tcPr>
          <w:p w:rsidR="00D53BB0" w:rsidRPr="00D53BB0" w:rsidRDefault="00E012A2" w:rsidP="00D53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86" w:type="dxa"/>
            <w:vAlign w:val="center"/>
          </w:tcPr>
          <w:p w:rsidR="00D53BB0" w:rsidRPr="00D53BB0" w:rsidRDefault="00E012A2" w:rsidP="00D53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D53BB0" w:rsidRPr="00D53BB0" w:rsidRDefault="00D53BB0" w:rsidP="00D53BB0">
      <w:pPr>
        <w:rPr>
          <w:rFonts w:ascii="Arial" w:hAnsi="Arial" w:cs="Arial"/>
          <w:sz w:val="18"/>
          <w:szCs w:val="18"/>
        </w:rPr>
      </w:pPr>
      <w:r w:rsidRPr="00D53BB0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D53BB0">
        <w:rPr>
          <w:rFonts w:ascii="Arial" w:hAnsi="Arial" w:cs="Arial"/>
          <w:sz w:val="18"/>
          <w:szCs w:val="18"/>
        </w:rPr>
        <w:t>hht</w:t>
      </w:r>
      <w:proofErr w:type="spellEnd"/>
      <w:r w:rsidRPr="00D53BB0">
        <w:rPr>
          <w:rFonts w:ascii="Arial" w:hAnsi="Arial" w:cs="Arial"/>
          <w:sz w:val="18"/>
          <w:szCs w:val="18"/>
        </w:rPr>
        <w:t xml:space="preserve"> 43 mm)</w:t>
      </w:r>
    </w:p>
    <w:p w:rsidR="00732B06" w:rsidRPr="00221CC6" w:rsidRDefault="00732B06" w:rsidP="003E6101">
      <w:pPr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 </w:t>
      </w:r>
    </w:p>
    <w:p w:rsidR="00732B06" w:rsidRDefault="00732B06" w:rsidP="00B01F7A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</w:t>
      </w:r>
      <w:r>
        <w:rPr>
          <w:rFonts w:ascii="Arial" w:hAnsi="Arial" w:cs="Arial"/>
          <w:sz w:val="18"/>
          <w:szCs w:val="18"/>
        </w:rPr>
        <w:t>ne seront pas démontables</w:t>
      </w:r>
    </w:p>
    <w:p w:rsidR="00732B06" w:rsidRPr="00221CC6" w:rsidRDefault="00732B06" w:rsidP="00B01F7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FC78EE">
        <w:rPr>
          <w:rFonts w:ascii="Arial" w:hAnsi="Arial" w:cs="Arial"/>
          <w:noProof/>
          <w:sz w:val="18"/>
          <w:szCs w:val="18"/>
        </w:rPr>
        <w:t>Pourra être épousseté ou dépoussiéré à l'aspirateur quotidiennement, et/ou nettoyé au chiffon humide une fois par semaine</w:t>
      </w:r>
    </w:p>
    <w:p w:rsidR="00732B06" w:rsidRPr="00221CC6" w:rsidRDefault="00732B06" w:rsidP="00B01F7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>
        <w:rPr>
          <w:rFonts w:ascii="Arial" w:hAnsi="Arial" w:cs="Arial"/>
          <w:b/>
          <w:sz w:val="18"/>
          <w:szCs w:val="18"/>
        </w:rPr>
        <w:t> 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Pr="00FC78EE">
        <w:rPr>
          <w:rFonts w:ascii="Arial" w:hAnsi="Arial" w:cs="Arial"/>
          <w:noProof/>
          <w:sz w:val="18"/>
          <w:szCs w:val="18"/>
        </w:rPr>
        <w:t>Blanc : l'échantillon NCS le plus proche sera le S 0500-N, 85% de réflexion lumineuse (dont plus de 99% de réflexion diffuse). Coefficient de rétro-réflexion de 63 mcd/(m²lx). Brillance&lt; 1. Pour les  8 autres couleurs, se rapprocher du fournisseur.</w:t>
      </w:r>
    </w:p>
    <w:p w:rsidR="00732B06" w:rsidRDefault="00732B06" w:rsidP="00B01F7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FC78EE">
        <w:rPr>
          <w:rFonts w:ascii="Arial" w:hAnsi="Arial" w:cs="Arial"/>
          <w:noProof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732B06" w:rsidRPr="00221CC6" w:rsidRDefault="00732B06" w:rsidP="00B01F7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FC78EE">
        <w:rPr>
          <w:rFonts w:ascii="Arial" w:hAnsi="Arial" w:cs="Arial"/>
          <w:noProof/>
          <w:sz w:val="18"/>
          <w:szCs w:val="18"/>
        </w:rPr>
        <w:t xml:space="preserve">Le panneau bénéficiera du niveau d’émission de  substances volatiles dans l’air intérieur (Arrêté du 19 avril 2011) de  classe A+, obtiendra la classe M1 du label finlandais pour l'Ambiance Climatique Intérieure. Il sera recommandé par l'Association Suédoise pour </w:t>
      </w:r>
      <w:r w:rsidR="002D6963">
        <w:rPr>
          <w:rFonts w:ascii="Arial" w:hAnsi="Arial" w:cs="Arial"/>
          <w:noProof/>
          <w:sz w:val="18"/>
          <w:szCs w:val="18"/>
        </w:rPr>
        <w:t xml:space="preserve">la lutte contre </w:t>
      </w:r>
      <w:r w:rsidRPr="00FC78EE">
        <w:rPr>
          <w:rFonts w:ascii="Arial" w:hAnsi="Arial" w:cs="Arial"/>
          <w:noProof/>
          <w:sz w:val="18"/>
          <w:szCs w:val="18"/>
        </w:rPr>
        <w:t>l'Asthme et les Allergies</w:t>
      </w:r>
      <w:r w:rsidR="002D6963">
        <w:rPr>
          <w:rFonts w:ascii="Arial" w:hAnsi="Arial" w:cs="Arial"/>
          <w:noProof/>
          <w:sz w:val="18"/>
          <w:szCs w:val="18"/>
        </w:rPr>
        <w:t>.</w:t>
      </w:r>
    </w:p>
    <w:p w:rsidR="00732B06" w:rsidRDefault="00732B06" w:rsidP="00B01F7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FC78EE">
        <w:rPr>
          <w:rFonts w:ascii="Arial" w:hAnsi="Arial" w:cs="Arial"/>
          <w:noProof/>
          <w:sz w:val="18"/>
          <w:szCs w:val="18"/>
        </w:rPr>
        <w:t>L</w:t>
      </w:r>
      <w:r w:rsidR="0062033D">
        <w:rPr>
          <w:rFonts w:ascii="Arial" w:hAnsi="Arial" w:cs="Arial"/>
          <w:noProof/>
          <w:sz w:val="18"/>
          <w:szCs w:val="18"/>
        </w:rPr>
        <w:t xml:space="preserve">a laine de verre utilisée sera </w:t>
      </w:r>
      <w:r w:rsidR="0062033D">
        <w:rPr>
          <w:rFonts w:ascii="Arial" w:hAnsi="Arial" w:cs="Arial"/>
          <w:color w:val="000000"/>
          <w:sz w:val="18"/>
          <w:szCs w:val="18"/>
        </w:rPr>
        <w:t>de haute densité 3</w:t>
      </w:r>
      <w:r w:rsidR="0062033D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62033D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62033D">
        <w:rPr>
          <w:rFonts w:cs="Arial"/>
          <w:sz w:val="18"/>
          <w:szCs w:val="18"/>
        </w:rPr>
        <w:t> </w:t>
      </w:r>
      <w:r w:rsidRPr="00FC78EE">
        <w:rPr>
          <w:rFonts w:ascii="Arial" w:hAnsi="Arial" w:cs="Arial"/>
          <w:noProof/>
          <w:sz w:val="18"/>
          <w:szCs w:val="18"/>
        </w:rPr>
        <w:t>qui combine l’utilisation de plus de 70% de verre recyclé et d’un liant végétal, et réduit les émissions polluantes. Le plafond totalement recyclable. Le produit bénéficiera d’une fiche de donnée environnementale et sanitaire (F</w:t>
      </w:r>
      <w:r w:rsidR="00F8452F">
        <w:rPr>
          <w:rFonts w:ascii="Arial" w:hAnsi="Arial" w:cs="Arial"/>
          <w:noProof/>
          <w:sz w:val="18"/>
          <w:szCs w:val="18"/>
        </w:rPr>
        <w:t>DE&amp;S</w:t>
      </w:r>
      <w:r w:rsidRPr="00FC78EE">
        <w:rPr>
          <w:rFonts w:ascii="Arial" w:hAnsi="Arial" w:cs="Arial"/>
          <w:noProof/>
          <w:sz w:val="18"/>
          <w:szCs w:val="18"/>
        </w:rPr>
        <w:t>).</w:t>
      </w:r>
      <w:r w:rsidRPr="00221CC6">
        <w:rPr>
          <w:rFonts w:ascii="Arial" w:hAnsi="Arial" w:cs="Arial"/>
          <w:sz w:val="18"/>
          <w:szCs w:val="18"/>
        </w:rPr>
        <w:t xml:space="preserve"> </w:t>
      </w:r>
    </w:p>
    <w:p w:rsidR="002D6963" w:rsidRPr="00221CC6" w:rsidRDefault="002D6963" w:rsidP="001D18FA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 w:rsidRPr="001D18FA">
        <w:rPr>
          <w:rFonts w:cs="Arial"/>
          <w:b/>
          <w:sz w:val="18"/>
          <w:szCs w:val="18"/>
        </w:rPr>
        <w:t>Changement climatique</w:t>
      </w:r>
      <w:r>
        <w:rPr>
          <w:rFonts w:cs="Arial"/>
          <w:sz w:val="18"/>
          <w:szCs w:val="18"/>
        </w:rPr>
        <w:t xml:space="preserve"> : Kg équivalent C02 par unité fonctionnelle =  </w:t>
      </w:r>
      <w:r w:rsidR="00FE549C">
        <w:rPr>
          <w:rFonts w:cs="Arial"/>
          <w:sz w:val="18"/>
          <w:szCs w:val="18"/>
        </w:rPr>
        <w:t>5,79 (EPD vérifiée)</w:t>
      </w:r>
      <w:bookmarkStart w:id="0" w:name="_GoBack"/>
      <w:bookmarkEnd w:id="0"/>
    </w:p>
    <w:p w:rsidR="00732B06" w:rsidRPr="00221CC6" w:rsidRDefault="00732B06" w:rsidP="00B01F7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FC78EE">
        <w:rPr>
          <w:rFonts w:ascii="Arial" w:hAnsi="Arial" w:cs="Arial"/>
          <w:noProof/>
          <w:sz w:val="18"/>
          <w:szCs w:val="18"/>
        </w:rPr>
        <w:t>La laine de verre qui composera les panneaux, sera testée et classée non combustible selon la norme EN ISO 1182.</w:t>
      </w:r>
      <w:r w:rsidRPr="00221CC6">
        <w:rPr>
          <w:rFonts w:ascii="Arial" w:hAnsi="Arial" w:cs="Arial"/>
          <w:sz w:val="18"/>
          <w:szCs w:val="18"/>
        </w:rPr>
        <w:t xml:space="preserve"> </w:t>
      </w:r>
    </w:p>
    <w:p w:rsidR="00732B06" w:rsidRDefault="00732B06" w:rsidP="00A22A3E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 xml:space="preserve"> : </w:t>
      </w:r>
      <w:r w:rsidRPr="00FC78EE">
        <w:rPr>
          <w:rFonts w:cs="Arial"/>
          <w:noProof/>
          <w:sz w:val="18"/>
          <w:szCs w:val="18"/>
        </w:rPr>
        <w:t>A2-s1, d0</w:t>
      </w:r>
    </w:p>
    <w:p w:rsidR="00732B06" w:rsidRPr="00221CC6" w:rsidRDefault="00732B06" w:rsidP="00B01F7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366EE">
        <w:rPr>
          <w:rFonts w:ascii="Arial" w:hAnsi="Arial" w:cs="Arial"/>
          <w:sz w:val="18"/>
          <w:szCs w:val="18"/>
        </w:rPr>
        <w:t xml:space="preserve">La pose des panneaux </w:t>
      </w:r>
      <w:r w:rsidR="007A478A">
        <w:rPr>
          <w:rFonts w:ascii="Arial" w:hAnsi="Arial" w:cs="Arial"/>
          <w:sz w:val="18"/>
          <w:szCs w:val="18"/>
        </w:rPr>
        <w:t xml:space="preserve">se fera </w:t>
      </w:r>
      <w:r w:rsidRPr="008366EE">
        <w:rPr>
          <w:rFonts w:ascii="Arial" w:hAnsi="Arial" w:cs="Arial"/>
          <w:sz w:val="18"/>
          <w:szCs w:val="18"/>
        </w:rPr>
        <w:t>selon l</w:t>
      </w:r>
      <w:r>
        <w:rPr>
          <w:rFonts w:ascii="Arial" w:hAnsi="Arial" w:cs="Arial"/>
          <w:sz w:val="18"/>
          <w:szCs w:val="18"/>
        </w:rPr>
        <w:t xml:space="preserve">e schéma de montage M113. </w:t>
      </w:r>
      <w:r w:rsidRPr="001E2970">
        <w:rPr>
          <w:rFonts w:ascii="Arial" w:hAnsi="Arial" w:cs="Arial"/>
          <w:sz w:val="18"/>
          <w:szCs w:val="18"/>
        </w:rPr>
        <w:t xml:space="preserve">Les surfaces fournies </w:t>
      </w:r>
      <w:r>
        <w:rPr>
          <w:rFonts w:ascii="Arial" w:hAnsi="Arial" w:cs="Arial"/>
          <w:sz w:val="18"/>
          <w:szCs w:val="18"/>
        </w:rPr>
        <w:t>devront</w:t>
      </w:r>
      <w:r w:rsidRPr="001E2970">
        <w:rPr>
          <w:rFonts w:ascii="Arial" w:hAnsi="Arial" w:cs="Arial"/>
          <w:sz w:val="18"/>
          <w:szCs w:val="18"/>
        </w:rPr>
        <w:t xml:space="preserve"> avoir une résistance suffisante de charge imposée par les dalles. En cas de doute, faire un test de collage. La surface </w:t>
      </w:r>
      <w:r>
        <w:rPr>
          <w:rFonts w:ascii="Arial" w:hAnsi="Arial" w:cs="Arial"/>
          <w:sz w:val="18"/>
          <w:szCs w:val="18"/>
        </w:rPr>
        <w:t>devra</w:t>
      </w:r>
      <w:r w:rsidRPr="001E2970">
        <w:rPr>
          <w:rFonts w:ascii="Arial" w:hAnsi="Arial" w:cs="Arial"/>
          <w:sz w:val="18"/>
          <w:szCs w:val="18"/>
        </w:rPr>
        <w:t xml:space="preserve"> toujours être propre et sèche. Pour un meilleur résultat, la surface </w:t>
      </w:r>
      <w:r>
        <w:rPr>
          <w:rFonts w:ascii="Arial" w:hAnsi="Arial" w:cs="Arial"/>
          <w:sz w:val="18"/>
          <w:szCs w:val="18"/>
        </w:rPr>
        <w:t>devra</w:t>
      </w:r>
      <w:r w:rsidRPr="001E2970">
        <w:rPr>
          <w:rFonts w:ascii="Arial" w:hAnsi="Arial" w:cs="Arial"/>
          <w:sz w:val="18"/>
          <w:szCs w:val="18"/>
        </w:rPr>
        <w:t xml:space="preserve"> être lisse</w:t>
      </w:r>
      <w:r>
        <w:rPr>
          <w:rFonts w:ascii="Arial" w:hAnsi="Arial" w:cs="Arial"/>
          <w:sz w:val="18"/>
          <w:szCs w:val="18"/>
        </w:rPr>
        <w:t>.</w:t>
      </w:r>
    </w:p>
    <w:p w:rsidR="00732B06" w:rsidRDefault="00732B06" w:rsidP="00B01F7A">
      <w:pPr>
        <w:rPr>
          <w:rFonts w:ascii="Arial" w:hAnsi="Arial" w:cs="Arial"/>
          <w:b/>
          <w:sz w:val="18"/>
          <w:szCs w:val="18"/>
        </w:rPr>
      </w:pPr>
    </w:p>
    <w:p w:rsidR="00732B06" w:rsidRPr="007A478A" w:rsidRDefault="00732B06">
      <w:pPr>
        <w:rPr>
          <w:rFonts w:ascii="Arial" w:hAnsi="Arial" w:cs="Arial"/>
          <w:sz w:val="24"/>
          <w:szCs w:val="24"/>
          <w:u w:val="single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Master</w:t>
      </w:r>
      <w:r w:rsidRPr="00221C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 w:rsidRPr="00221CC6">
        <w:rPr>
          <w:rFonts w:ascii="Arial" w:hAnsi="Arial" w:cs="Arial"/>
          <w:sz w:val="18"/>
          <w:szCs w:val="18"/>
        </w:rPr>
        <w:t xml:space="preserve"> 600x600</w:t>
      </w:r>
    </w:p>
    <w:sectPr w:rsidR="00732B06" w:rsidRPr="007A478A" w:rsidSect="00732B06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2F" w:rsidRDefault="00F8452F" w:rsidP="00F8452F">
      <w:r>
        <w:separator/>
      </w:r>
    </w:p>
  </w:endnote>
  <w:endnote w:type="continuationSeparator" w:id="0">
    <w:p w:rsidR="00F8452F" w:rsidRDefault="00F8452F" w:rsidP="00F8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2F" w:rsidRDefault="00F8452F" w:rsidP="00F8452F">
      <w:r>
        <w:separator/>
      </w:r>
    </w:p>
  </w:footnote>
  <w:footnote w:type="continuationSeparator" w:id="0">
    <w:p w:rsidR="00F8452F" w:rsidRDefault="00F8452F" w:rsidP="00F8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2F" w:rsidRPr="00F8452F" w:rsidRDefault="00F8452F" w:rsidP="00F8452F">
    <w:pPr>
      <w:pStyle w:val="En-tte"/>
      <w:jc w:val="right"/>
      <w:rPr>
        <w:rFonts w:asciiTheme="minorHAnsi" w:hAnsiTheme="minorHAnsi" w:cstheme="minorHAnsi"/>
        <w:sz w:val="16"/>
        <w:szCs w:val="16"/>
      </w:rPr>
    </w:pPr>
    <w:r w:rsidRPr="00F8452F">
      <w:rPr>
        <w:rFonts w:asciiTheme="minorHAnsi" w:hAnsiTheme="minorHAnsi" w:cstheme="minorHAnsi"/>
        <w:sz w:val="16"/>
        <w:szCs w:val="16"/>
      </w:rPr>
      <w:t xml:space="preserve">Mise à jour : </w:t>
    </w:r>
    <w:r w:rsidR="002D6963">
      <w:rPr>
        <w:rFonts w:asciiTheme="minorHAnsi" w:hAnsiTheme="minorHAnsi" w:cstheme="minorHAnsi"/>
        <w:sz w:val="16"/>
        <w:szCs w:val="16"/>
      </w:rPr>
      <w:t>MAI</w:t>
    </w:r>
    <w:r w:rsidRPr="00F8452F">
      <w:rPr>
        <w:rFonts w:asciiTheme="minorHAnsi" w:hAnsiTheme="minorHAnsi" w:cstheme="minorHAnsi"/>
        <w:sz w:val="16"/>
        <w:szCs w:val="16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C7"/>
    <w:rsid w:val="001642C7"/>
    <w:rsid w:val="001D18FA"/>
    <w:rsid w:val="002D6963"/>
    <w:rsid w:val="003E6101"/>
    <w:rsid w:val="004C660E"/>
    <w:rsid w:val="005C53A1"/>
    <w:rsid w:val="0062033D"/>
    <w:rsid w:val="00657C36"/>
    <w:rsid w:val="00690BF8"/>
    <w:rsid w:val="00691C66"/>
    <w:rsid w:val="00732B06"/>
    <w:rsid w:val="007613AD"/>
    <w:rsid w:val="007A478A"/>
    <w:rsid w:val="00A10D1A"/>
    <w:rsid w:val="00A22A3E"/>
    <w:rsid w:val="00B01F7A"/>
    <w:rsid w:val="00C036AD"/>
    <w:rsid w:val="00D53BB0"/>
    <w:rsid w:val="00E012A2"/>
    <w:rsid w:val="00F8452F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C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642C7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642C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1642C7"/>
  </w:style>
  <w:style w:type="character" w:customStyle="1" w:styleId="NotedebasdepageCar">
    <w:name w:val="Note de bas de page Car"/>
    <w:basedOn w:val="Policepardfaut"/>
    <w:link w:val="Notedebasdepage"/>
    <w:semiHidden/>
    <w:rsid w:val="001642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642C7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1642C7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642C7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1642C7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1642C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2">
    <w:name w:val="ECOPHONTITRE2"/>
    <w:basedOn w:val="ECOPHON18CENTRE"/>
    <w:rsid w:val="001642C7"/>
  </w:style>
  <w:style w:type="paragraph" w:customStyle="1" w:styleId="ECOPHONTITRE3B">
    <w:name w:val="ECOPHONTITRE3B"/>
    <w:basedOn w:val="Normal"/>
    <w:link w:val="ECOPHONTITRE3BCar"/>
    <w:autoRedefine/>
    <w:rsid w:val="00B01F7A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B01F7A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64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4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B01F7A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B01F7A"/>
    <w:rPr>
      <w:color w:val="000000"/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3E61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1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10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4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5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4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52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C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642C7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642C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1642C7"/>
  </w:style>
  <w:style w:type="character" w:customStyle="1" w:styleId="NotedebasdepageCar">
    <w:name w:val="Note de bas de page Car"/>
    <w:basedOn w:val="Policepardfaut"/>
    <w:link w:val="Notedebasdepage"/>
    <w:semiHidden/>
    <w:rsid w:val="001642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642C7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1642C7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642C7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1642C7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1642C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2">
    <w:name w:val="ECOPHONTITRE2"/>
    <w:basedOn w:val="ECOPHON18CENTRE"/>
    <w:rsid w:val="001642C7"/>
  </w:style>
  <w:style w:type="paragraph" w:customStyle="1" w:styleId="ECOPHONTITRE3B">
    <w:name w:val="ECOPHONTITRE3B"/>
    <w:basedOn w:val="Normal"/>
    <w:link w:val="ECOPHONTITRE3BCar"/>
    <w:autoRedefine/>
    <w:rsid w:val="00B01F7A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B01F7A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64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4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B01F7A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B01F7A"/>
    <w:rPr>
      <w:color w:val="000000"/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3E61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1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10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4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5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4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52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301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7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AC5F-C0BF-400C-B37C-DCE65EBC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3</cp:revision>
  <dcterms:created xsi:type="dcterms:W3CDTF">2016-05-11T10:46:00Z</dcterms:created>
  <dcterms:modified xsi:type="dcterms:W3CDTF">2016-05-11T13:15:00Z</dcterms:modified>
</cp:coreProperties>
</file>